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22221" w14:textId="77777777" w:rsidR="00A93162" w:rsidRDefault="00564FF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Schedule 24 (Financial Difficulties)</w:t>
      </w:r>
    </w:p>
    <w:p w14:paraId="61E22222"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1E22223"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14:paraId="61E22226" w14:textId="77777777">
        <w:tc>
          <w:tcPr>
            <w:tcW w:w="2462" w:type="dxa"/>
          </w:tcPr>
          <w:p w14:paraId="61E22224"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61E22225"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A93162" w14:paraId="61E22234" w14:textId="77777777">
        <w:tc>
          <w:tcPr>
            <w:tcW w:w="2462" w:type="dxa"/>
          </w:tcPr>
          <w:p w14:paraId="61E22227"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61E22228"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61E22229"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61E2222A"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olor w:val="000000"/>
                <w:sz w:val="24"/>
                <w:szCs w:val="24"/>
              </w:rPr>
              <w:t>prospects;</w:t>
            </w:r>
            <w:proofErr w:type="gramEnd"/>
          </w:p>
          <w:p w14:paraId="61E2222B"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Party;</w:t>
            </w:r>
            <w:proofErr w:type="gramEnd"/>
            <w:r>
              <w:rPr>
                <w:rFonts w:ascii="Arial" w:eastAsia="Arial" w:hAnsi="Arial"/>
                <w:color w:val="000000"/>
                <w:sz w:val="24"/>
                <w:szCs w:val="24"/>
              </w:rPr>
              <w:t xml:space="preserve"> </w:t>
            </w:r>
          </w:p>
          <w:p w14:paraId="61E2222C"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61E2222D"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the Buyer that the Supplier has not satisfied any sums properly due under a specified invoice and not subject to a genuine dispute; or</w:t>
            </w:r>
          </w:p>
          <w:p w14:paraId="61E2222E"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61E2222F"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61E22230"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61E22231"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any financial indebtedness of the Monitored Company becoming due as a result of an event of default; or</w:t>
            </w:r>
          </w:p>
          <w:p w14:paraId="61E22232"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61E22233"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each case which the Buyer reasonably believes (or would be likely reasonably to believe) could directly impact on the continued performance of any Contract and delivery of the Deliverables in accordance with </w:t>
            </w:r>
            <w:proofErr w:type="gramStart"/>
            <w:r>
              <w:rPr>
                <w:rFonts w:ascii="Arial" w:eastAsia="Arial" w:hAnsi="Arial"/>
                <w:color w:val="000000"/>
                <w:sz w:val="24"/>
                <w:szCs w:val="24"/>
              </w:rPr>
              <w:t>any  Contract</w:t>
            </w:r>
            <w:proofErr w:type="gramEnd"/>
            <w:r>
              <w:rPr>
                <w:rFonts w:ascii="Arial" w:eastAsia="Arial" w:hAnsi="Arial"/>
                <w:color w:val="000000"/>
                <w:sz w:val="24"/>
                <w:szCs w:val="24"/>
              </w:rPr>
              <w:t>;</w:t>
            </w:r>
          </w:p>
        </w:tc>
      </w:tr>
      <w:tr w:rsidR="00A93162" w14:paraId="61E22237" w14:textId="77777777">
        <w:tc>
          <w:tcPr>
            <w:tcW w:w="2462" w:type="dxa"/>
          </w:tcPr>
          <w:p w14:paraId="61E22235"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61E22236"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A93162" w14:paraId="61E2223A" w14:textId="77777777">
        <w:tc>
          <w:tcPr>
            <w:tcW w:w="2462" w:type="dxa"/>
          </w:tcPr>
          <w:p w14:paraId="61E22238"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61E22239" w14:textId="4151005A"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sidRPr="008A63FF">
              <w:rPr>
                <w:rFonts w:ascii="Arial" w:eastAsia="Arial" w:hAnsi="Arial"/>
                <w:color w:val="000000"/>
                <w:sz w:val="24"/>
                <w:szCs w:val="24"/>
              </w:rPr>
              <w:t>Supplier the Guarantor or any Key Subcontractor;</w:t>
            </w:r>
            <w:r>
              <w:rPr>
                <w:rFonts w:ascii="Arial" w:eastAsia="Arial" w:hAnsi="Arial"/>
                <w:color w:val="000000"/>
                <w:sz w:val="24"/>
                <w:szCs w:val="24"/>
              </w:rPr>
              <w:t xml:space="preserve"> and</w:t>
            </w:r>
          </w:p>
        </w:tc>
      </w:tr>
      <w:tr w:rsidR="00A93162" w14:paraId="61E2223D" w14:textId="77777777">
        <w:tc>
          <w:tcPr>
            <w:tcW w:w="2462" w:type="dxa"/>
          </w:tcPr>
          <w:p w14:paraId="61E2223B" w14:textId="77777777" w:rsidR="00A93162" w:rsidRDefault="00564FFF" w:rsidP="00503729">
            <w:pPr>
              <w:pBdr>
                <w:top w:val="nil"/>
                <w:left w:val="nil"/>
                <w:bottom w:val="nil"/>
                <w:right w:val="nil"/>
                <w:between w:val="nil"/>
              </w:pBdr>
              <w:spacing w:after="120"/>
              <w:ind w:left="-108" w:hanging="20"/>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61E2223C"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61E2223E"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61E2223F"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61E22240"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61E22241" w14:textId="77777777" w:rsidR="00A93162" w:rsidRDefault="00564F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under the Contract until the termination or expiry of the Contract.</w:t>
      </w:r>
    </w:p>
    <w:p w14:paraId="61E22242"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61E22243"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the Buyer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61E22244"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Buyer in writing if there is any downgrade in the credit rating issued by any Rating Agency for a Monitored Company.</w:t>
      </w:r>
    </w:p>
    <w:p w14:paraId="61E22245" w14:textId="2B7F997F"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the quick ratio for the Monitored Company as at the end of each Contract Year or such other date as may be requested by the Buyer. For these purposes the "quick ratio" on any date means:</w:t>
      </w:r>
    </w:p>
    <w:p w14:paraId="61E22246" w14:textId="77777777" w:rsidR="00A93162" w:rsidRDefault="00564FFF">
      <w:pPr>
        <w:ind w:firstLine="1134"/>
        <w:jc w:val="left"/>
        <w:rPr>
          <w:rFonts w:ascii="Arial" w:eastAsia="Arial" w:hAnsi="Arial"/>
          <w:sz w:val="24"/>
          <w:szCs w:val="24"/>
        </w:rPr>
      </w:pPr>
      <w:r>
        <w:rPr>
          <w:rFonts w:ascii="Arial" w:eastAsia="Arial" w:hAnsi="Arial"/>
          <w:noProof/>
          <w:sz w:val="24"/>
          <w:szCs w:val="24"/>
        </w:rPr>
        <w:lastRenderedPageBreak/>
        <w:drawing>
          <wp:inline distT="0" distB="0" distL="0" distR="0" wp14:anchorId="61E2228B" wp14:editId="61E2228C">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61E2228D" wp14:editId="61E2228E">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61E22247" w14:textId="77777777" w:rsidR="00A93162" w:rsidRDefault="00564FFF">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14:paraId="61E2224A" w14:textId="77777777">
        <w:tc>
          <w:tcPr>
            <w:tcW w:w="1524" w:type="dxa"/>
          </w:tcPr>
          <w:p w14:paraId="61E22248"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61E22249"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14:paraId="61E2224D" w14:textId="77777777">
        <w:tc>
          <w:tcPr>
            <w:tcW w:w="1524" w:type="dxa"/>
          </w:tcPr>
          <w:p w14:paraId="61E2224B"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61E2224C"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93162" w14:paraId="61E22250" w14:textId="77777777">
        <w:tc>
          <w:tcPr>
            <w:tcW w:w="1524" w:type="dxa"/>
          </w:tcPr>
          <w:p w14:paraId="61E2224E"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61E2224F"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A93162" w14:paraId="61E22253" w14:textId="77777777">
        <w:tc>
          <w:tcPr>
            <w:tcW w:w="1524" w:type="dxa"/>
          </w:tcPr>
          <w:p w14:paraId="61E22251"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61E22252"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61E22254"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61E22255"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61E22256"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61E22257"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1E22258"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61E22259"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w:t>
      </w:r>
    </w:p>
    <w:p w14:paraId="61E2225B"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4.3 without first giving the Supplier ten (10) Working Days to:</w:t>
      </w:r>
    </w:p>
    <w:p w14:paraId="61E2225C"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61E2225D"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Buyer's reasonable satisfaction that there is a valid reason for late or non-payment.]</w:t>
      </w:r>
    </w:p>
    <w:p w14:paraId="61E2225E"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61E2225F"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p>
    <w:p w14:paraId="61E22260"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 xml:space="preserve">where the Buyer reasonably believes (taking into account the discussions and any representations made under Paragraph 4.3.1) that the Financial Distress Event could impact on the continued performance of the Contract and delivery of the Deliverables in accordance with the Contract: </w:t>
      </w:r>
    </w:p>
    <w:p w14:paraId="61E22261"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Buyer for its Approval, a draft Financial Distress Service Continuity Plan as soon as reasonably practicable (and in any event, within ten (10) Working Days of the initial notification (or awareness) of the Financial Distress Event); and</w:t>
      </w:r>
    </w:p>
    <w:p w14:paraId="61E22262"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the Buyer may reasonably require.</w:t>
      </w:r>
    </w:p>
    <w:p w14:paraId="61E22263"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14:paraId="61E22264"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61E22265"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the Buyer, the Supplier shall:</w:t>
      </w:r>
    </w:p>
    <w:p w14:paraId="61E22266"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the Contract and delivery of the Deliverables in accordance with the Contract;</w:t>
      </w:r>
    </w:p>
    <w:p w14:paraId="61E22267"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the Buyer for its Approval, and the provisions of Paragraphs 4.5 and 4.6 shall apply to the review and Approval process for the updated Financial Distress Service Continuity Plan; and </w:t>
      </w:r>
    </w:p>
    <w:p w14:paraId="61E22268"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61E22269"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14:paraId="61E2226A"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the Buyer can terminate for financial distress </w:t>
      </w:r>
    </w:p>
    <w:p w14:paraId="61E2226B"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The Buyer shall be entitled to terminate this Contract for material Default if: </w:t>
      </w:r>
    </w:p>
    <w:p w14:paraId="61E2226C"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the Buyer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61E2226D"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fail to agree a Financial Distress Service Continuity Plan (or any updated Financial Distress Service Continuity Plan) in accordance with Paragraphs 4.3 to 4.5; and/or</w:t>
      </w:r>
    </w:p>
    <w:p w14:paraId="61E2226E"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61E2226F"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is still </w:t>
      </w:r>
      <w:proofErr w:type="gramStart"/>
      <w:r>
        <w:rPr>
          <w:rFonts w:ascii="Arial Bold" w:eastAsia="Arial Bold" w:hAnsi="Arial Bold" w:cs="Arial Bold"/>
          <w:b/>
          <w:color w:val="000000"/>
          <w:sz w:val="24"/>
          <w:szCs w:val="24"/>
        </w:rPr>
        <w:t>good</w:t>
      </w:r>
      <w:proofErr w:type="gramEnd"/>
    </w:p>
    <w:p w14:paraId="61E22270"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Buyer’s rights and remedies under Paragraph 5, if, following the occurrence of a Financial Distress Event, the Rating Agencies review and report subsequently that the credit ratings do not drop below the relevant Credit Rating Threshold, then:</w:t>
      </w:r>
    </w:p>
    <w:p w14:paraId="61E22271"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1E22272"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require the Supplier to provide financial information in accordance with Paragraph 4.3.2(b). </w:t>
      </w:r>
    </w:p>
    <w:p w14:paraId="61E22273" w14:textId="77777777" w:rsidR="00A93162" w:rsidRDefault="00A93162">
      <w:pPr>
        <w:pBdr>
          <w:top w:val="nil"/>
          <w:left w:val="nil"/>
          <w:bottom w:val="nil"/>
          <w:right w:val="nil"/>
          <w:between w:val="nil"/>
        </w:pBdr>
        <w:spacing w:after="0"/>
        <w:jc w:val="left"/>
        <w:rPr>
          <w:rFonts w:ascii="Arial" w:eastAsia="Arial" w:hAnsi="Arial"/>
          <w:color w:val="FFFFFF"/>
          <w:sz w:val="24"/>
          <w:szCs w:val="24"/>
        </w:rPr>
      </w:pPr>
    </w:p>
    <w:p w14:paraId="61E22274"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61E22275" w14:textId="77777777" w:rsidR="00A93162" w:rsidRPr="006616F1" w:rsidRDefault="00564FFF">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sidRPr="006616F1">
        <w:rPr>
          <w:rFonts w:ascii="Arial" w:eastAsia="Arial" w:hAnsi="Arial"/>
          <w:b/>
          <w:smallCaps/>
          <w:color w:val="000000"/>
          <w:sz w:val="36"/>
          <w:szCs w:val="36"/>
        </w:rPr>
        <w:lastRenderedPageBreak/>
        <w:t>ANNEX 1: RATING AGENCIES</w:t>
      </w:r>
    </w:p>
    <w:p w14:paraId="61E22276" w14:textId="77777777" w:rsidR="00A93162" w:rsidRPr="006616F1"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sidRPr="006616F1">
        <w:rPr>
          <w:rFonts w:ascii="Arial" w:eastAsia="Arial" w:hAnsi="Arial"/>
          <w:color w:val="000000"/>
          <w:sz w:val="24"/>
          <w:szCs w:val="24"/>
        </w:rPr>
        <w:t>[Rating Agency 1]</w:t>
      </w:r>
    </w:p>
    <w:p w14:paraId="61E22277"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sidRPr="006616F1">
        <w:rPr>
          <w:rFonts w:ascii="Arial" w:eastAsia="Arial" w:hAnsi="Arial"/>
          <w:color w:val="000000"/>
          <w:sz w:val="24"/>
          <w:szCs w:val="24"/>
        </w:rPr>
        <w:t>[Rating Agency 2]</w:t>
      </w:r>
    </w:p>
    <w:p w14:paraId="61E22278"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61E22279"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93162" w14:paraId="61E2227D" w14:textId="77777777">
        <w:tc>
          <w:tcPr>
            <w:tcW w:w="3033" w:type="dxa"/>
            <w:tcBorders>
              <w:top w:val="single" w:sz="4" w:space="0" w:color="000000"/>
            </w:tcBorders>
            <w:shd w:val="clear" w:color="auto" w:fill="FFFFFF"/>
          </w:tcPr>
          <w:p w14:paraId="61E2227A"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Entity</w:t>
            </w:r>
          </w:p>
        </w:tc>
        <w:tc>
          <w:tcPr>
            <w:tcW w:w="3017" w:type="dxa"/>
            <w:tcBorders>
              <w:top w:val="single" w:sz="4" w:space="0" w:color="000000"/>
            </w:tcBorders>
            <w:shd w:val="clear" w:color="auto" w:fill="FFFFFF"/>
          </w:tcPr>
          <w:p w14:paraId="61E2227B"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2966" w:type="dxa"/>
            <w:tcBorders>
              <w:top w:val="single" w:sz="4" w:space="0" w:color="000000"/>
            </w:tcBorders>
            <w:shd w:val="clear" w:color="auto" w:fill="FFFFFF"/>
          </w:tcPr>
          <w:p w14:paraId="61E2227C"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A93162" w14:paraId="61E22281" w14:textId="77777777">
        <w:tc>
          <w:tcPr>
            <w:tcW w:w="3033" w:type="dxa"/>
            <w:shd w:val="clear" w:color="auto" w:fill="FFFFFF"/>
          </w:tcPr>
          <w:p w14:paraId="61E2227E"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Supplier</w:t>
            </w:r>
          </w:p>
        </w:tc>
        <w:tc>
          <w:tcPr>
            <w:tcW w:w="3017" w:type="dxa"/>
            <w:shd w:val="clear" w:color="auto" w:fill="FFFFFF"/>
          </w:tcPr>
          <w:p w14:paraId="61E2227F"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[D&amp;B Threshold]</w:t>
            </w:r>
          </w:p>
        </w:tc>
        <w:tc>
          <w:tcPr>
            <w:tcW w:w="2966" w:type="dxa"/>
            <w:shd w:val="clear" w:color="auto" w:fill="FFFFFF"/>
          </w:tcPr>
          <w:p w14:paraId="61E22280"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14:paraId="61E22285" w14:textId="77777777">
        <w:tc>
          <w:tcPr>
            <w:tcW w:w="3033" w:type="dxa"/>
            <w:shd w:val="clear" w:color="auto" w:fill="FFFFFF"/>
          </w:tcPr>
          <w:p w14:paraId="61E22282" w14:textId="77777777" w:rsidR="00A93162" w:rsidRPr="00E13AB0"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sidRPr="00E13AB0">
              <w:rPr>
                <w:rFonts w:ascii="Arial" w:eastAsia="Arial" w:hAnsi="Arial"/>
                <w:color w:val="000000"/>
                <w:sz w:val="24"/>
                <w:szCs w:val="24"/>
              </w:rPr>
              <w:t xml:space="preserve"> Guarantor</w:t>
            </w:r>
          </w:p>
        </w:tc>
        <w:tc>
          <w:tcPr>
            <w:tcW w:w="3017" w:type="dxa"/>
            <w:shd w:val="clear" w:color="auto" w:fill="FFFFFF"/>
          </w:tcPr>
          <w:p w14:paraId="61E22283"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shd w:val="clear" w:color="auto" w:fill="FFFFFF"/>
          </w:tcPr>
          <w:p w14:paraId="61E22284"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14:paraId="61E22289" w14:textId="77777777">
        <w:tc>
          <w:tcPr>
            <w:tcW w:w="3033" w:type="dxa"/>
            <w:tcBorders>
              <w:bottom w:val="single" w:sz="4" w:space="0" w:color="000000"/>
            </w:tcBorders>
            <w:shd w:val="clear" w:color="auto" w:fill="FFFFFF"/>
          </w:tcPr>
          <w:p w14:paraId="61E22286" w14:textId="77777777" w:rsidR="00A93162" w:rsidRPr="00E13AB0"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sidRPr="00E13AB0">
              <w:rPr>
                <w:rFonts w:ascii="Arial" w:eastAsia="Arial" w:hAnsi="Arial"/>
                <w:color w:val="000000"/>
                <w:sz w:val="24"/>
                <w:szCs w:val="24"/>
              </w:rPr>
              <w:t>[Key Subcontractor]</w:t>
            </w:r>
          </w:p>
        </w:tc>
        <w:tc>
          <w:tcPr>
            <w:tcW w:w="3017" w:type="dxa"/>
            <w:tcBorders>
              <w:bottom w:val="single" w:sz="4" w:space="0" w:color="000000"/>
            </w:tcBorders>
            <w:shd w:val="clear" w:color="auto" w:fill="FFFFFF"/>
          </w:tcPr>
          <w:p w14:paraId="61E22287"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tcBorders>
              <w:bottom w:val="single" w:sz="4" w:space="0" w:color="000000"/>
            </w:tcBorders>
            <w:shd w:val="clear" w:color="auto" w:fill="FFFFFF"/>
          </w:tcPr>
          <w:p w14:paraId="61E22288"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bl>
    <w:p w14:paraId="61E2228A" w14:textId="77777777" w:rsidR="00A93162" w:rsidRDefault="00A93162">
      <w:pPr>
        <w:spacing w:after="0"/>
        <w:rPr>
          <w:rFonts w:ascii="Arial" w:eastAsia="Arial" w:hAnsi="Arial"/>
          <w:sz w:val="24"/>
          <w:szCs w:val="24"/>
        </w:rPr>
      </w:pPr>
    </w:p>
    <w:sectPr w:rsidR="00A9316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84C70" w14:textId="77777777" w:rsidR="007F4409" w:rsidRDefault="007F4409">
      <w:pPr>
        <w:spacing w:after="0"/>
      </w:pPr>
      <w:r>
        <w:separator/>
      </w:r>
    </w:p>
  </w:endnote>
  <w:endnote w:type="continuationSeparator" w:id="0">
    <w:p w14:paraId="61657ACE" w14:textId="77777777" w:rsidR="007F4409" w:rsidRDefault="007F44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22295" w14:textId="77777777" w:rsidR="00A93162" w:rsidRDefault="00564FFF">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61E22296" w14:textId="77777777" w:rsidR="00A93162" w:rsidRDefault="00564FF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61E22297"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03729">
      <w:rPr>
        <w:rFonts w:ascii="Arial" w:eastAsia="Arial" w:hAnsi="Arial"/>
        <w:noProof/>
        <w:color w:val="BFBFBF"/>
        <w:sz w:val="20"/>
        <w:szCs w:val="20"/>
      </w:rPr>
      <w:t>1</w:t>
    </w:r>
    <w:r>
      <w:rPr>
        <w:rFonts w:ascii="Arial" w:eastAsia="Arial" w:hAnsi="Arial"/>
        <w:color w:val="BFBFBF"/>
        <w:sz w:val="20"/>
        <w:szCs w:val="20"/>
      </w:rPr>
      <w:fldChar w:fldCharType="end"/>
    </w:r>
  </w:p>
  <w:p w14:paraId="61E22298"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61E22299" w14:textId="77777777" w:rsidR="00A93162" w:rsidRDefault="00564FFF">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2229A" w14:textId="77777777" w:rsidR="00A93162" w:rsidRDefault="00564FFF">
    <w:pPr>
      <w:tabs>
        <w:tab w:val="center" w:pos="4513"/>
        <w:tab w:val="right" w:pos="9026"/>
      </w:tabs>
      <w:spacing w:after="0"/>
      <w:rPr>
        <w:color w:val="BFBFBF"/>
      </w:rPr>
    </w:pPr>
    <w:r>
      <w:rPr>
        <w:color w:val="BFBFBF"/>
      </w:rPr>
      <w:t>Framework Ref: RM</w:t>
    </w:r>
    <w:r>
      <w:rPr>
        <w:color w:val="BFBFBF"/>
      </w:rPr>
      <w:tab/>
      <w:t xml:space="preserve">                                           </w:t>
    </w:r>
  </w:p>
  <w:p w14:paraId="61E2229B" w14:textId="77777777"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61E2229C" w14:textId="77777777" w:rsidR="00A93162" w:rsidRDefault="00564FFF">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40EDA" w14:textId="77777777" w:rsidR="007F4409" w:rsidRDefault="007F4409">
      <w:pPr>
        <w:spacing w:after="0"/>
      </w:pPr>
      <w:r>
        <w:separator/>
      </w:r>
    </w:p>
  </w:footnote>
  <w:footnote w:type="continuationSeparator" w:id="0">
    <w:p w14:paraId="25B7A47A" w14:textId="77777777" w:rsidR="007F4409" w:rsidRDefault="007F44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22293"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14:paraId="61E22294"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E716C6"/>
    <w:multiLevelType w:val="multilevel"/>
    <w:tmpl w:val="AECAF6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162"/>
    <w:rsid w:val="00503729"/>
    <w:rsid w:val="00564FFF"/>
    <w:rsid w:val="005E79FD"/>
    <w:rsid w:val="006616F1"/>
    <w:rsid w:val="007F4409"/>
    <w:rsid w:val="00833DAA"/>
    <w:rsid w:val="008A63FF"/>
    <w:rsid w:val="009E4C39"/>
    <w:rsid w:val="00A93162"/>
    <w:rsid w:val="00E13AB0"/>
    <w:rsid w:val="00F4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222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1574</Words>
  <Characters>8972</Characters>
  <Application>Microsoft Office Word</Application>
  <DocSecurity>0</DocSecurity>
  <Lines>74</Lines>
  <Paragraphs>21</Paragraphs>
  <ScaleCrop>false</ScaleCrop>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Mellissa McGinley - UK SBS</cp:lastModifiedBy>
  <cp:revision>9</cp:revision>
  <dcterms:created xsi:type="dcterms:W3CDTF">2019-11-04T11:10:00Z</dcterms:created>
  <dcterms:modified xsi:type="dcterms:W3CDTF">2021-05-17T20:01:00Z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